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2</w:t>
      </w:r>
      <w:r>
        <w:rPr>
          <w:rFonts w:ascii="宋体" w:hAnsi="宋体"/>
          <w:b/>
          <w:sz w:val="30"/>
          <w:szCs w:val="30"/>
        </w:rPr>
        <w:t>02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b/>
          <w:sz w:val="30"/>
          <w:szCs w:val="30"/>
        </w:rPr>
        <w:t>年计算机科学与技术学院博士研究生招生</w:t>
      </w:r>
    </w:p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相关成果证明材料目录</w:t>
      </w:r>
    </w:p>
    <w:p>
      <w:pPr>
        <w:jc w:val="center"/>
        <w:rPr>
          <w:rFonts w:ascii="宋体" w:hAnsi="宋体"/>
          <w:b/>
          <w:sz w:val="30"/>
          <w:szCs w:val="30"/>
        </w:rPr>
      </w:pPr>
    </w:p>
    <w:p>
      <w:pPr>
        <w:jc w:val="lef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姓名：</w:t>
      </w:r>
      <w:r>
        <w:rPr>
          <w:rFonts w:hint="eastAsia" w:ascii="宋体" w:hAnsi="宋体"/>
          <w:b/>
          <w:sz w:val="24"/>
          <w:u w:val="single"/>
        </w:rPr>
        <w:t xml:space="preserve"> </w:t>
      </w:r>
      <w:r>
        <w:rPr>
          <w:rFonts w:ascii="宋体" w:hAnsi="宋体"/>
          <w:b/>
          <w:sz w:val="24"/>
          <w:u w:val="single"/>
        </w:rPr>
        <w:t xml:space="preserve">             </w:t>
      </w:r>
      <w:r>
        <w:rPr>
          <w:rFonts w:hint="eastAsia" w:ascii="宋体" w:hAnsi="宋体"/>
          <w:b/>
          <w:sz w:val="24"/>
        </w:rPr>
        <w:t>，报考专业：</w:t>
      </w:r>
      <w:r>
        <w:rPr>
          <w:rFonts w:hint="eastAsia" w:ascii="宋体" w:hAnsi="宋体"/>
          <w:b/>
          <w:sz w:val="24"/>
          <w:u w:val="single"/>
        </w:rPr>
        <w:t xml:space="preserve"> </w:t>
      </w:r>
      <w:r>
        <w:rPr>
          <w:rFonts w:ascii="宋体" w:hAnsi="宋体"/>
          <w:b/>
          <w:sz w:val="24"/>
          <w:u w:val="single"/>
        </w:rPr>
        <w:t xml:space="preserve">                </w:t>
      </w:r>
      <w:r>
        <w:rPr>
          <w:rFonts w:hint="eastAsia" w:ascii="宋体" w:hAnsi="宋体"/>
          <w:b/>
          <w:sz w:val="24"/>
        </w:rPr>
        <w:t>，报考导师：</w:t>
      </w:r>
      <w:r>
        <w:rPr>
          <w:rFonts w:hint="eastAsia" w:ascii="宋体" w:hAnsi="宋体"/>
          <w:b/>
          <w:sz w:val="24"/>
          <w:u w:val="single"/>
        </w:rPr>
        <w:t xml:space="preserve"> </w:t>
      </w:r>
      <w:r>
        <w:rPr>
          <w:rFonts w:ascii="宋体" w:hAnsi="宋体"/>
          <w:b/>
          <w:sz w:val="24"/>
          <w:u w:val="single"/>
        </w:rPr>
        <w:t xml:space="preserve">             </w:t>
      </w:r>
    </w:p>
    <w:tbl>
      <w:tblPr>
        <w:tblStyle w:val="5"/>
        <w:tblpPr w:leftFromText="180" w:rightFromText="180" w:vertAnchor="text" w:horzAnchor="margin" w:tblpY="230"/>
        <w:tblW w:w="991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9"/>
        <w:gridCol w:w="4023"/>
        <w:gridCol w:w="2435"/>
        <w:gridCol w:w="888"/>
        <w:gridCol w:w="9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34" w:firstLineChars="17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类别</w:t>
            </w: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分项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>项目类</w:t>
            </w:r>
            <w:r>
              <w:rPr>
                <w:rFonts w:hint="eastAsia" w:ascii="宋体" w:hAnsi="宋体" w:cs="宋体"/>
                <w:kern w:val="0"/>
                <w:szCs w:val="21"/>
              </w:rPr>
              <w:t>（纵向类）</w:t>
            </w: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主持：国家级项目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主持：省部级项目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主持：省级普通高校研究生科研创新、</w:t>
            </w:r>
            <w:r>
              <w:rPr>
                <w:rFonts w:cs="宋体"/>
                <w:kern w:val="0"/>
                <w:szCs w:val="21"/>
              </w:rPr>
              <w:t>实践创新</w:t>
            </w:r>
            <w:r>
              <w:rPr>
                <w:rFonts w:hint="eastAsia" w:cs="宋体"/>
                <w:kern w:val="0"/>
                <w:szCs w:val="21"/>
              </w:rPr>
              <w:t>计划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>论著、论文类</w:t>
            </w: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CCF A类期刊（20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cs="宋体"/>
                <w:kern w:val="0"/>
                <w:szCs w:val="21"/>
              </w:rPr>
              <w:t>年版、英文）、SCI一区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CCF A类会议</w:t>
            </w:r>
            <w:r>
              <w:rPr>
                <w:rFonts w:hint="eastAsia" w:ascii="Calibri" w:hAnsi="Calibri" w:cs="宋体"/>
                <w:kern w:val="0"/>
                <w:szCs w:val="21"/>
                <w:highlight w:val="none"/>
              </w:rPr>
              <w:t>（20</w:t>
            </w:r>
            <w:r>
              <w:rPr>
                <w:rFonts w:hint="eastAsia" w:ascii="Calibri" w:hAnsi="Calibri" w:cs="宋体"/>
                <w:kern w:val="0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Calibri" w:hAnsi="Calibri" w:cs="宋体"/>
                <w:kern w:val="0"/>
                <w:szCs w:val="21"/>
                <w:highlight w:val="none"/>
              </w:rPr>
              <w:t>年版</w:t>
            </w:r>
            <w:r>
              <w:rPr>
                <w:rFonts w:hint="eastAsia" w:ascii="Calibri" w:hAnsi="Calibri" w:cs="宋体"/>
                <w:kern w:val="0"/>
                <w:szCs w:val="21"/>
              </w:rPr>
              <w:t>、英文）</w:t>
            </w:r>
            <w:r>
              <w:rPr>
                <w:rFonts w:hint="eastAsia" w:cs="宋体"/>
                <w:kern w:val="0"/>
                <w:szCs w:val="21"/>
              </w:rPr>
              <w:t>、CCF B类期刊（20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cs="宋体"/>
                <w:kern w:val="0"/>
                <w:szCs w:val="21"/>
              </w:rPr>
              <w:t>年版、英文）、</w:t>
            </w:r>
            <w:r>
              <w:rPr>
                <w:rFonts w:cs="宋体"/>
                <w:kern w:val="0"/>
                <w:szCs w:val="21"/>
              </w:rPr>
              <w:t>SCI二区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CCF B类会议</w:t>
            </w:r>
            <w:r>
              <w:rPr>
                <w:rFonts w:hint="eastAsia" w:ascii="Calibri" w:hAnsi="Calibri" w:cs="宋体"/>
                <w:kern w:val="0"/>
                <w:szCs w:val="21"/>
                <w:highlight w:val="none"/>
              </w:rPr>
              <w:t>（20</w:t>
            </w:r>
            <w:r>
              <w:rPr>
                <w:rFonts w:hint="eastAsia" w:ascii="Calibri" w:hAnsi="Calibri" w:cs="宋体"/>
                <w:kern w:val="0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Calibri" w:hAnsi="Calibri" w:cs="宋体"/>
                <w:kern w:val="0"/>
                <w:szCs w:val="21"/>
                <w:highlight w:val="none"/>
              </w:rPr>
              <w:t>年版</w:t>
            </w:r>
            <w:r>
              <w:rPr>
                <w:rFonts w:hint="eastAsia" w:ascii="Calibri" w:hAnsi="Calibri" w:cs="宋体"/>
                <w:kern w:val="0"/>
                <w:szCs w:val="21"/>
              </w:rPr>
              <w:t>、英文）</w:t>
            </w:r>
            <w:r>
              <w:rPr>
                <w:rFonts w:hint="eastAsia" w:cs="宋体"/>
                <w:kern w:val="0"/>
                <w:szCs w:val="21"/>
              </w:rPr>
              <w:t>、《中国科学》、《软件学报》、《计算机学报》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CCF C类会议（20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cs="宋体"/>
                <w:kern w:val="0"/>
                <w:szCs w:val="21"/>
              </w:rPr>
              <w:t>年版、英文）、CCF C类期刊（20</w:t>
            </w:r>
            <w:r>
              <w:rPr>
                <w:rFonts w:hint="eastAsia" w:cs="宋体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cs="宋体"/>
                <w:kern w:val="0"/>
                <w:szCs w:val="21"/>
              </w:rPr>
              <w:t>年版、英文）、其他CCF 中文期刊A类（2019年版）、其他SCI期刊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北图中文核心期刊（2</w:t>
            </w:r>
            <w:r>
              <w:rPr>
                <w:rFonts w:cs="宋体"/>
                <w:kern w:val="0"/>
                <w:szCs w:val="21"/>
              </w:rPr>
              <w:t>020</w:t>
            </w:r>
            <w:r>
              <w:rPr>
                <w:rFonts w:hint="eastAsia" w:cs="宋体"/>
                <w:kern w:val="0"/>
                <w:szCs w:val="21"/>
              </w:rPr>
              <w:t>版）</w:t>
            </w:r>
          </w:p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CCF 中文期刊B类（2019年版）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EI收录</w:t>
            </w:r>
            <w:r>
              <w:rPr>
                <w:rFonts w:cs="宋体"/>
                <w:kern w:val="0"/>
                <w:szCs w:val="21"/>
              </w:rPr>
              <w:t>论文</w:t>
            </w:r>
            <w:r>
              <w:rPr>
                <w:rFonts w:hint="eastAsia" w:cs="宋体"/>
                <w:kern w:val="0"/>
                <w:szCs w:val="21"/>
              </w:rPr>
              <w:t>、CCF中文期刊C类（2019年版，在北图核刊目录里的按北图核刊算）</w:t>
            </w:r>
            <w:bookmarkStart w:id="0" w:name="_GoBack"/>
            <w:bookmarkEnd w:id="0"/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>知识产权类</w:t>
            </w: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美日欧发明专利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其它国家或地区发明专利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国内发明专利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4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</w:rPr>
              <w:t>实用新型或外观设计专利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6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学习竞赛类</w:t>
            </w:r>
          </w:p>
        </w:tc>
        <w:tc>
          <w:tcPr>
            <w:tcW w:w="402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  <w:u w:val="single"/>
              </w:rPr>
              <w:t>国家级：</w:t>
            </w:r>
            <w:r>
              <w:rPr>
                <w:rFonts w:hint="eastAsia" w:cs="宋体"/>
                <w:kern w:val="0"/>
                <w:szCs w:val="21"/>
              </w:rPr>
              <w:t>“挑战杯”全国大学生课外学术科技作品竞赛，中国“互联网+”大学生创新创业大赛，“创青春”全国大学生创业大赛、“中国软件杯”大学生软件设计大赛、ACM-ICPC亚洲杯、全国大学生智能汽车竞赛、全国大学生数学建模竞赛。</w:t>
            </w: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第一获奖等级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第二获奖等级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第三获奖等级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hint="eastAsia" w:cs="宋体"/>
                <w:kern w:val="0"/>
                <w:szCs w:val="21"/>
                <w:u w:val="single"/>
              </w:rPr>
              <w:t>行业竞赛：</w:t>
            </w:r>
            <w:r>
              <w:rPr>
                <w:rFonts w:hint="eastAsia" w:cs="宋体"/>
                <w:kern w:val="0"/>
                <w:szCs w:val="21"/>
              </w:rPr>
              <w:t>一级学会及其专委会、教指委、或行业领军企业（百度、阿里、腾讯、华为、微软）举办的与学院</w:t>
            </w:r>
            <w:r>
              <w:rPr>
                <w:rFonts w:cs="宋体"/>
                <w:kern w:val="0"/>
                <w:szCs w:val="21"/>
              </w:rPr>
              <w:t>现有学科方向和</w:t>
            </w:r>
            <w:r>
              <w:rPr>
                <w:rFonts w:hint="eastAsia" w:cs="宋体"/>
                <w:kern w:val="0"/>
                <w:szCs w:val="21"/>
              </w:rPr>
              <w:t>博士研究生</w:t>
            </w:r>
            <w:r>
              <w:rPr>
                <w:rFonts w:cs="宋体"/>
                <w:kern w:val="0"/>
                <w:szCs w:val="21"/>
              </w:rPr>
              <w:t>招生方向紧密相关的</w:t>
            </w:r>
            <w:r>
              <w:rPr>
                <w:rFonts w:hint="eastAsia" w:cs="宋体"/>
                <w:kern w:val="0"/>
                <w:szCs w:val="21"/>
              </w:rPr>
              <w:t>赛事。</w:t>
            </w: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第一获奖等级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6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第二获奖等级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6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第三获奖等级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学业成绩</w:t>
            </w:r>
          </w:p>
          <w:p>
            <w:pPr>
              <w:widowControl/>
              <w:ind w:firstLine="35" w:firstLineChars="17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保博学生填写</w:t>
            </w:r>
          </w:p>
        </w:tc>
        <w:tc>
          <w:tcPr>
            <w:tcW w:w="73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各必修课程学分乘以相应课程成绩的总和/课程学分的总和*</w:t>
            </w:r>
            <w:r>
              <w:rPr>
                <w:rFonts w:ascii="宋体" w:hAnsi="宋体" w:cs="宋体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kern w:val="0"/>
                <w:szCs w:val="21"/>
              </w:rPr>
              <w:t>（有不及格的不能申请）</w:t>
            </w:r>
          </w:p>
        </w:tc>
        <w:tc>
          <w:tcPr>
            <w:tcW w:w="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</w:tc>
      </w:tr>
    </w:tbl>
    <w:p>
      <w:pPr>
        <w:widowControl/>
        <w:rPr>
          <w:rFonts w:ascii="宋体" w:hAnsi="宋体" w:cs="宋体"/>
          <w:kern w:val="0"/>
          <w:sz w:val="20"/>
          <w:szCs w:val="20"/>
        </w:rPr>
      </w:pPr>
    </w:p>
    <w:p>
      <w:pPr>
        <w:widowControl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/>
          <w:kern w:val="0"/>
          <w:sz w:val="20"/>
          <w:szCs w:val="20"/>
        </w:rPr>
        <w:br w:type="page"/>
      </w:r>
    </w:p>
    <w:p>
      <w:pPr>
        <w:widowControl/>
        <w:rPr>
          <w:rFonts w:ascii="宋体" w:hAnsi="宋体" w:cs="宋体"/>
          <w:kern w:val="0"/>
          <w:sz w:val="20"/>
          <w:szCs w:val="20"/>
        </w:rPr>
      </w:pPr>
    </w:p>
    <w:p>
      <w:pPr>
        <w:widowControl/>
        <w:spacing w:line="360" w:lineRule="auto"/>
        <w:rPr>
          <w:rFonts w:hint="eastAsia" w:cs="宋体"/>
          <w:b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注：</w:t>
      </w:r>
    </w:p>
    <w:p>
      <w:pPr>
        <w:widowControl/>
        <w:spacing w:line="300" w:lineRule="auto"/>
        <w:rPr>
          <w:rFonts w:cs="宋体"/>
          <w:b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1、发表论文、出版科研论著、科研奖励、科研项目等应与报考专业相关且为研究生阶段及以后获得的成果。</w:t>
      </w:r>
    </w:p>
    <w:p>
      <w:pPr>
        <w:widowControl/>
        <w:spacing w:line="288" w:lineRule="auto"/>
        <w:rPr>
          <w:rFonts w:ascii="Times New Roman" w:hAnsi="Times New Roman" w:eastAsia="宋体" w:cs="宋体"/>
          <w:b/>
          <w:kern w:val="0"/>
          <w:szCs w:val="21"/>
        </w:rPr>
      </w:pPr>
      <w:r>
        <w:rPr>
          <w:rFonts w:ascii="Times New Roman" w:hAnsi="Times New Roman" w:eastAsia="宋体" w:cs="宋体"/>
          <w:b/>
          <w:kern w:val="0"/>
          <w:szCs w:val="21"/>
        </w:rPr>
        <w:t>2</w:t>
      </w:r>
      <w:r>
        <w:rPr>
          <w:rFonts w:hint="eastAsia" w:ascii="Times New Roman" w:hAnsi="Times New Roman" w:eastAsia="宋体" w:cs="宋体"/>
          <w:b/>
          <w:kern w:val="0"/>
          <w:szCs w:val="21"/>
        </w:rPr>
        <w:t>、论文、论著须满足如下要求：</w:t>
      </w:r>
    </w:p>
    <w:p>
      <w:pPr>
        <w:pStyle w:val="10"/>
        <w:widowControl/>
        <w:numPr>
          <w:ilvl w:val="0"/>
          <w:numId w:val="1"/>
        </w:numPr>
        <w:spacing w:line="288" w:lineRule="auto"/>
        <w:ind w:left="420" w:leftChars="200"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第一作者评分系数为1.0；共同第一作者系数为0.</w:t>
      </w:r>
      <w:r>
        <w:rPr>
          <w:rFonts w:ascii="Times New Roman" w:hAnsi="Times New Roman" w:eastAsia="宋体" w:cs="宋体"/>
          <w:kern w:val="0"/>
          <w:szCs w:val="21"/>
        </w:rPr>
        <w:t>5</w:t>
      </w:r>
      <w:r>
        <w:rPr>
          <w:rFonts w:hint="eastAsia" w:ascii="Times New Roman" w:hAnsi="Times New Roman" w:eastAsia="宋体" w:cs="宋体"/>
          <w:kern w:val="0"/>
          <w:szCs w:val="21"/>
        </w:rPr>
        <w:t>，且最多计1项。</w:t>
      </w:r>
    </w:p>
    <w:p>
      <w:pPr>
        <w:pStyle w:val="10"/>
        <w:widowControl/>
        <w:numPr>
          <w:ilvl w:val="0"/>
          <w:numId w:val="1"/>
        </w:numPr>
        <w:spacing w:line="288" w:lineRule="auto"/>
        <w:ind w:left="420" w:leftChars="200"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第二作者（第一作者必须为作者导师）按第一作者评分的0.5倍计算。</w:t>
      </w:r>
    </w:p>
    <w:p>
      <w:pPr>
        <w:pStyle w:val="10"/>
        <w:widowControl/>
        <w:numPr>
          <w:ilvl w:val="0"/>
          <w:numId w:val="1"/>
        </w:numPr>
        <w:spacing w:line="288" w:lineRule="auto"/>
        <w:ind w:left="420" w:leftChars="200"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第5、6两类论文一共最多就高计2篇。</w:t>
      </w:r>
    </w:p>
    <w:p>
      <w:pPr>
        <w:pStyle w:val="10"/>
        <w:widowControl/>
        <w:numPr>
          <w:ilvl w:val="0"/>
          <w:numId w:val="1"/>
        </w:numPr>
        <w:spacing w:line="288" w:lineRule="auto"/>
        <w:ind w:left="420" w:leftChars="200"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已出版（网络见刊）的</w:t>
      </w: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论文</w:t>
      </w:r>
      <w:r>
        <w:rPr>
          <w:rFonts w:hint="eastAsia" w:ascii="Times New Roman" w:hAnsi="Times New Roman" w:eastAsia="宋体" w:cs="宋体"/>
          <w:kern w:val="0"/>
          <w:szCs w:val="21"/>
        </w:rPr>
        <w:t>：</w:t>
      </w:r>
    </w:p>
    <w:p>
      <w:pPr>
        <w:pStyle w:val="10"/>
        <w:widowControl/>
        <w:numPr>
          <w:ilvl w:val="-1"/>
          <w:numId w:val="0"/>
        </w:numPr>
        <w:spacing w:line="288" w:lineRule="auto"/>
        <w:ind w:left="420" w:leftChars="200" w:firstLine="420" w:firstLineChars="20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请提供封面、目录及</w:t>
      </w: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见刊版论文全文</w:t>
      </w:r>
      <w:r>
        <w:rPr>
          <w:rFonts w:hint="eastAsia" w:ascii="Times New Roman" w:hAnsi="Times New Roman" w:eastAsia="宋体" w:cs="宋体"/>
          <w:kern w:val="0"/>
          <w:szCs w:val="21"/>
        </w:rPr>
        <w:t>；</w:t>
      </w:r>
    </w:p>
    <w:p>
      <w:pPr>
        <w:pStyle w:val="10"/>
        <w:widowControl/>
        <w:numPr>
          <w:ilvl w:val="0"/>
          <w:numId w:val="1"/>
        </w:numPr>
        <w:spacing w:line="288" w:lineRule="auto"/>
        <w:ind w:left="420" w:leftChars="200"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已录用的</w:t>
      </w: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论文</w:t>
      </w:r>
      <w:r>
        <w:rPr>
          <w:rFonts w:hint="eastAsia" w:ascii="Times New Roman" w:hAnsi="Times New Roman" w:eastAsia="宋体" w:cs="宋体"/>
          <w:kern w:val="0"/>
          <w:szCs w:val="21"/>
        </w:rPr>
        <w:t>：</w:t>
      </w:r>
    </w:p>
    <w:p>
      <w:pPr>
        <w:pStyle w:val="10"/>
        <w:widowControl/>
        <w:numPr>
          <w:ilvl w:val="-1"/>
          <w:numId w:val="0"/>
        </w:numPr>
        <w:spacing w:line="288" w:lineRule="auto"/>
        <w:ind w:left="420" w:leftChars="200" w:firstLine="420" w:firstLineChars="200"/>
        <w:rPr>
          <w:rFonts w:hint="eastAsia" w:ascii="Times New Roman" w:hAnsi="Times New Roman" w:eastAsia="宋体" w:cs="宋体"/>
          <w:kern w:val="0"/>
          <w:szCs w:val="21"/>
          <w:lang w:eastAsia="zh-CN"/>
        </w:rPr>
      </w:pPr>
      <w:r>
        <w:rPr>
          <w:rFonts w:hint="default" w:ascii="Calibri" w:hAnsi="Calibri" w:eastAsia="宋体" w:cs="Calibri"/>
          <w:kern w:val="0"/>
          <w:szCs w:val="21"/>
        </w:rPr>
        <w:t>①</w:t>
      </w:r>
      <w:r>
        <w:rPr>
          <w:rFonts w:hint="eastAsia" w:ascii="Times New Roman" w:hAnsi="Times New Roman" w:eastAsia="宋体" w:cs="宋体"/>
          <w:kern w:val="0"/>
          <w:szCs w:val="21"/>
        </w:rPr>
        <w:t>中文论文应包括正式录用通知（官方盖章）及</w:t>
      </w: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论文全文</w:t>
      </w:r>
      <w:r>
        <w:rPr>
          <w:rFonts w:hint="eastAsia" w:ascii="Times New Roman" w:hAnsi="Times New Roman" w:eastAsia="宋体" w:cs="宋体"/>
          <w:kern w:val="0"/>
          <w:szCs w:val="21"/>
        </w:rPr>
        <w:t>（如无正式录用通知，必须提供论文版面费的发票复印件或相关汇款证明）</w:t>
      </w:r>
      <w:r>
        <w:rPr>
          <w:rFonts w:hint="eastAsia" w:ascii="Times New Roman" w:hAnsi="Times New Roman" w:eastAsia="宋体" w:cs="宋体"/>
          <w:kern w:val="0"/>
          <w:szCs w:val="21"/>
          <w:lang w:eastAsia="zh-CN"/>
        </w:rPr>
        <w:t>；</w:t>
      </w:r>
    </w:p>
    <w:p>
      <w:pPr>
        <w:pStyle w:val="10"/>
        <w:widowControl/>
        <w:numPr>
          <w:ilvl w:val="-1"/>
          <w:numId w:val="0"/>
        </w:numPr>
        <w:spacing w:line="288" w:lineRule="auto"/>
        <w:ind w:left="420" w:leftChars="200" w:firstLine="420" w:firstLineChars="200"/>
        <w:rPr>
          <w:rFonts w:hint="eastAsia" w:ascii="Times New Roman" w:hAnsi="Times New Roman" w:eastAsia="宋体" w:cs="宋体"/>
          <w:kern w:val="0"/>
          <w:szCs w:val="21"/>
          <w:lang w:eastAsia="zh-CN"/>
        </w:rPr>
      </w:pPr>
      <w:r>
        <w:rPr>
          <w:rFonts w:hint="default" w:ascii="Calibri" w:hAnsi="Calibri" w:eastAsia="宋体" w:cs="Calibri"/>
          <w:kern w:val="0"/>
          <w:szCs w:val="21"/>
        </w:rPr>
        <w:t>②</w:t>
      </w:r>
      <w:r>
        <w:rPr>
          <w:rFonts w:hint="eastAsia" w:ascii="Times New Roman" w:hAnsi="Times New Roman" w:eastAsia="宋体" w:cs="宋体"/>
          <w:kern w:val="0"/>
          <w:szCs w:val="21"/>
        </w:rPr>
        <w:t>英文会议论文需提供录用邮件</w:t>
      </w:r>
      <w:r>
        <w:rPr>
          <w:rFonts w:hint="eastAsia" w:ascii="Times New Roman" w:hAnsi="Times New Roman" w:eastAsia="宋体" w:cs="宋体"/>
          <w:kern w:val="0"/>
          <w:szCs w:val="21"/>
          <w:lang w:eastAsia="zh-CN"/>
        </w:rPr>
        <w:t>、</w:t>
      </w:r>
      <w:r>
        <w:rPr>
          <w:rFonts w:hint="eastAsia" w:ascii="Times New Roman" w:hAnsi="Times New Roman" w:eastAsia="宋体" w:cs="宋体"/>
          <w:kern w:val="0"/>
          <w:szCs w:val="21"/>
        </w:rPr>
        <w:t>会议网址中的论文录用列表</w:t>
      </w: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及论文全文</w:t>
      </w:r>
      <w:r>
        <w:rPr>
          <w:rFonts w:hint="eastAsia" w:ascii="Times New Roman" w:hAnsi="Times New Roman" w:eastAsia="宋体" w:cs="宋体"/>
          <w:kern w:val="0"/>
          <w:szCs w:val="21"/>
          <w:lang w:eastAsia="zh-CN"/>
        </w:rPr>
        <w:t>；</w:t>
      </w:r>
    </w:p>
    <w:p>
      <w:pPr>
        <w:pStyle w:val="10"/>
        <w:widowControl/>
        <w:numPr>
          <w:ilvl w:val="-1"/>
          <w:numId w:val="0"/>
        </w:numPr>
        <w:spacing w:line="288" w:lineRule="auto"/>
        <w:ind w:left="420" w:leftChars="200" w:firstLine="420" w:firstLineChars="200"/>
        <w:rPr>
          <w:rFonts w:ascii="Times New Roman" w:hAnsi="Times New Roman" w:eastAsia="宋体" w:cs="宋体"/>
          <w:kern w:val="0"/>
          <w:szCs w:val="21"/>
        </w:rPr>
      </w:pPr>
      <w:r>
        <w:rPr>
          <w:rFonts w:hint="default" w:ascii="Calibri" w:hAnsi="Calibri" w:eastAsia="宋体" w:cs="Calibri"/>
          <w:kern w:val="0"/>
          <w:szCs w:val="21"/>
        </w:rPr>
        <w:t>③</w:t>
      </w:r>
      <w:r>
        <w:rPr>
          <w:rFonts w:hint="eastAsia" w:ascii="Times New Roman" w:hAnsi="Times New Roman" w:eastAsia="宋体" w:cs="宋体"/>
          <w:kern w:val="0"/>
          <w:szCs w:val="21"/>
        </w:rPr>
        <w:t>英文期刊</w:t>
      </w: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论文</w:t>
      </w:r>
      <w:r>
        <w:rPr>
          <w:rFonts w:hint="eastAsia" w:ascii="Times New Roman" w:hAnsi="Times New Roman" w:eastAsia="宋体" w:cs="宋体"/>
          <w:kern w:val="0"/>
          <w:szCs w:val="21"/>
        </w:rPr>
        <w:t>需提供录用邮件和英文投稿系统相关截屏；</w:t>
      </w:r>
    </w:p>
    <w:p>
      <w:pPr>
        <w:pStyle w:val="10"/>
        <w:widowControl/>
        <w:numPr>
          <w:ilvl w:val="0"/>
          <w:numId w:val="1"/>
        </w:numPr>
        <w:spacing w:line="288" w:lineRule="auto"/>
        <w:ind w:left="420" w:leftChars="200"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会议论文仅指“Full paper”，且已见刊。期刊论文非增刊论文；</w:t>
      </w:r>
    </w:p>
    <w:p>
      <w:pPr>
        <w:pStyle w:val="10"/>
        <w:widowControl/>
        <w:numPr>
          <w:ilvl w:val="0"/>
          <w:numId w:val="1"/>
        </w:numPr>
        <w:spacing w:line="288" w:lineRule="auto"/>
        <w:ind w:left="420" w:leftChars="200"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被EI、SCI收录的论文必须提供检索证明</w:t>
      </w:r>
      <w:r>
        <w:rPr>
          <w:rFonts w:hint="eastAsia" w:ascii="Times New Roman" w:hAnsi="Times New Roman" w:eastAsia="宋体" w:cs="宋体"/>
          <w:kern w:val="0"/>
          <w:szCs w:val="21"/>
          <w:lang w:eastAsia="zh-CN"/>
        </w:rPr>
        <w:t>。</w:t>
      </w: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各类论文检索分区以论文录用时间为准。</w:t>
      </w:r>
    </w:p>
    <w:p>
      <w:pPr>
        <w:pStyle w:val="10"/>
        <w:widowControl/>
        <w:numPr>
          <w:ilvl w:val="0"/>
          <w:numId w:val="1"/>
        </w:numPr>
        <w:spacing w:line="288" w:lineRule="auto"/>
        <w:ind w:left="420" w:leftChars="200"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发表在下列刊物上的成果不计分：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IEEE Access 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Journal of Computers (JCP</w:t>
      </w:r>
      <w:r>
        <w:rPr>
          <w:rFonts w:hint="eastAsia"/>
          <w:color w:val="auto"/>
          <w:sz w:val="21"/>
          <w:szCs w:val="21"/>
        </w:rPr>
        <w:t>)</w:t>
      </w:r>
      <w:r>
        <w:rPr>
          <w:color w:val="auto"/>
          <w:sz w:val="21"/>
          <w:szCs w:val="21"/>
        </w:rPr>
        <w:t>, ISSN 1796-203X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Journal of Software (JSW</w:t>
      </w:r>
      <w:r>
        <w:rPr>
          <w:rFonts w:hint="eastAsia"/>
          <w:color w:val="auto"/>
          <w:sz w:val="21"/>
          <w:szCs w:val="21"/>
        </w:rPr>
        <w:t>)</w:t>
      </w:r>
      <w:r>
        <w:rPr>
          <w:color w:val="auto"/>
          <w:sz w:val="21"/>
          <w:szCs w:val="21"/>
        </w:rPr>
        <w:t>, ISSN 1796-217X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Information Technology Journal, ISSN 1812-5638 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Journal of Information&amp; Computational Science, ISSN 1548-7741 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Journal of Systems Science and Information, ISSN: 1478-9906 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 xml:space="preserve">Journal of Convergence Information Technology, ISSN 1975-9320 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International Journal of Digital Content Technology and its Applications</w:t>
      </w:r>
      <w:r>
        <w:rPr>
          <w:rFonts w:hint="eastAsia" w:cs="宋体"/>
          <w:color w:val="auto"/>
          <w:sz w:val="21"/>
          <w:szCs w:val="21"/>
        </w:rPr>
        <w:t>，</w:t>
      </w:r>
      <w:r>
        <w:rPr>
          <w:color w:val="auto"/>
          <w:sz w:val="21"/>
          <w:szCs w:val="21"/>
        </w:rPr>
        <w:t xml:space="preserve">ISSN: 1975-9339 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color w:val="auto"/>
          <w:sz w:val="21"/>
          <w:szCs w:val="21"/>
        </w:rPr>
        <w:t>International Journal of Advancements in Computing Technology</w:t>
      </w:r>
    </w:p>
    <w:p>
      <w:pPr>
        <w:pStyle w:val="9"/>
        <w:numPr>
          <w:ilvl w:val="0"/>
          <w:numId w:val="2"/>
        </w:numPr>
        <w:spacing w:line="288" w:lineRule="auto"/>
        <w:ind w:left="840" w:leftChars="400"/>
        <w:jc w:val="both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其它经招生小组认定不能计分的出版物。</w:t>
      </w:r>
    </w:p>
    <w:p>
      <w:pPr>
        <w:widowControl/>
        <w:spacing w:line="288" w:lineRule="auto"/>
        <w:rPr>
          <w:rFonts w:ascii="Times New Roman" w:hAnsi="Times New Roman" w:eastAsia="宋体" w:cs="宋体"/>
          <w:b/>
          <w:kern w:val="0"/>
          <w:szCs w:val="21"/>
        </w:rPr>
      </w:pPr>
      <w:r>
        <w:rPr>
          <w:rFonts w:ascii="Times New Roman" w:hAnsi="Times New Roman" w:eastAsia="宋体" w:cs="宋体"/>
          <w:b/>
          <w:kern w:val="0"/>
          <w:szCs w:val="21"/>
        </w:rPr>
        <w:t>3</w:t>
      </w:r>
      <w:r>
        <w:rPr>
          <w:rFonts w:hint="eastAsia" w:ascii="Times New Roman" w:hAnsi="Times New Roman" w:eastAsia="宋体" w:cs="宋体"/>
          <w:b/>
          <w:kern w:val="0"/>
          <w:szCs w:val="21"/>
        </w:rPr>
        <w:t>、知识产权类成果排名顺序以</w:t>
      </w:r>
      <w:r>
        <w:rPr>
          <w:rFonts w:hint="eastAsia" w:ascii="Times New Roman" w:hAnsi="Times New Roman" w:eastAsia="宋体" w:cs="宋体"/>
          <w:b/>
          <w:kern w:val="0"/>
          <w:szCs w:val="21"/>
          <w:lang w:val="en-US" w:eastAsia="zh-CN"/>
        </w:rPr>
        <w:t>授权证书</w:t>
      </w:r>
      <w:r>
        <w:rPr>
          <w:rFonts w:hint="eastAsia" w:ascii="Times New Roman" w:hAnsi="Times New Roman" w:eastAsia="宋体" w:cs="宋体"/>
          <w:b/>
          <w:kern w:val="0"/>
          <w:szCs w:val="21"/>
        </w:rPr>
        <w:t>为准。</w:t>
      </w:r>
    </w:p>
    <w:p>
      <w:pPr>
        <w:pStyle w:val="10"/>
        <w:widowControl/>
        <w:numPr>
          <w:ilvl w:val="0"/>
          <w:numId w:val="3"/>
        </w:numPr>
        <w:spacing w:line="288" w:lineRule="auto"/>
        <w:ind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第二作者（第一作者必须为作者导师</w:t>
      </w:r>
      <w:r>
        <w:rPr>
          <w:rFonts w:hint="eastAsia" w:ascii="Times New Roman" w:hAnsi="Times New Roman" w:eastAsia="宋体" w:cs="宋体"/>
          <w:kern w:val="0"/>
          <w:szCs w:val="21"/>
          <w:lang w:eastAsia="zh-CN"/>
        </w:rPr>
        <w:t>，</w:t>
      </w: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不能是企业导师</w:t>
      </w:r>
      <w:r>
        <w:rPr>
          <w:rFonts w:hint="eastAsia" w:ascii="Times New Roman" w:hAnsi="Times New Roman" w:eastAsia="宋体" w:cs="宋体"/>
          <w:kern w:val="0"/>
          <w:szCs w:val="21"/>
        </w:rPr>
        <w:t>）评分按照第一作者评分的0.5倍计算。</w:t>
      </w:r>
    </w:p>
    <w:p>
      <w:pPr>
        <w:pStyle w:val="10"/>
        <w:widowControl/>
        <w:numPr>
          <w:ilvl w:val="0"/>
          <w:numId w:val="3"/>
        </w:numPr>
        <w:spacing w:line="288" w:lineRule="auto"/>
        <w:ind w:firstLineChars="0"/>
        <w:rPr>
          <w:rFonts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</w:rPr>
        <w:t>第4类知识产权成果最多计2项。</w:t>
      </w:r>
    </w:p>
    <w:p>
      <w:pPr>
        <w:spacing w:line="288" w:lineRule="auto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4、学习竞赛类须满足如下要求：</w:t>
      </w:r>
    </w:p>
    <w:p>
      <w:pPr>
        <w:pStyle w:val="10"/>
        <w:widowControl/>
        <w:numPr>
          <w:ilvl w:val="-1"/>
          <w:numId w:val="0"/>
        </w:numPr>
        <w:spacing w:line="288" w:lineRule="auto"/>
        <w:ind w:left="0" w:leftChars="0" w:firstLine="420" w:firstLineChars="200"/>
        <w:rPr>
          <w:rFonts w:hint="eastAsia" w:ascii="Times New Roman" w:hAnsi="Times New Roman" w:eastAsia="宋体" w:cs="宋体"/>
          <w:kern w:val="0"/>
          <w:szCs w:val="21"/>
        </w:rPr>
      </w:pP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1）</w:t>
      </w:r>
      <w:r>
        <w:rPr>
          <w:rFonts w:hint="eastAsia" w:ascii="Times New Roman" w:hAnsi="Times New Roman" w:eastAsia="宋体" w:cs="宋体"/>
          <w:kern w:val="0"/>
          <w:szCs w:val="21"/>
        </w:rPr>
        <w:t>有获奖证书，奖励前三名分别按照总分值的60%、30%、10%计分。一项获奖只计一次分。</w:t>
      </w:r>
    </w:p>
    <w:p>
      <w:pPr>
        <w:widowControl/>
        <w:spacing w:line="360" w:lineRule="auto"/>
      </w:pPr>
      <w:r>
        <w:rPr>
          <w:rFonts w:hint="eastAsia" w:ascii="Times New Roman" w:hAnsi="Times New Roman" w:eastAsia="宋体" w:cs="宋体"/>
          <w:kern w:val="0"/>
          <w:szCs w:val="21"/>
          <w:lang w:val="en-US" w:eastAsia="zh-CN"/>
        </w:rPr>
        <w:t>2）</w:t>
      </w:r>
      <w:r>
        <w:rPr>
          <w:rFonts w:ascii="Times New Roman" w:hAnsi="Times New Roman" w:eastAsia="宋体" w:cs="宋体"/>
          <w:kern w:val="0"/>
          <w:szCs w:val="21"/>
        </w:rPr>
        <w:t>赛事加分须经</w:t>
      </w:r>
      <w:r>
        <w:rPr>
          <w:rFonts w:hint="eastAsia" w:ascii="Times New Roman" w:hAnsi="Times New Roman" w:eastAsia="宋体" w:cs="宋体"/>
          <w:kern w:val="0"/>
          <w:szCs w:val="21"/>
        </w:rPr>
        <w:t>招生</w:t>
      </w:r>
      <w:r>
        <w:rPr>
          <w:rFonts w:ascii="Times New Roman" w:hAnsi="Times New Roman" w:eastAsia="宋体" w:cs="宋体"/>
          <w:kern w:val="0"/>
          <w:szCs w:val="21"/>
        </w:rPr>
        <w:t>小组</w:t>
      </w:r>
      <w:r>
        <w:rPr>
          <w:rFonts w:hint="eastAsia" w:ascii="Times New Roman" w:hAnsi="Times New Roman" w:eastAsia="宋体" w:cs="宋体"/>
          <w:kern w:val="0"/>
          <w:szCs w:val="21"/>
        </w:rPr>
        <w:t>核准</w:t>
      </w:r>
      <w:r>
        <w:rPr>
          <w:rFonts w:ascii="Times New Roman" w:hAnsi="Times New Roman" w:eastAsia="宋体" w:cs="宋体"/>
          <w:kern w:val="0"/>
          <w:szCs w:val="21"/>
        </w:rPr>
        <w:t>。</w:t>
      </w:r>
    </w:p>
    <w:sectPr>
      <w:pgSz w:w="11906" w:h="16838"/>
      <w:pgMar w:top="568" w:right="849" w:bottom="426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7D35A0"/>
    <w:multiLevelType w:val="multilevel"/>
    <w:tmpl w:val="357D35A0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64F97985"/>
    <w:multiLevelType w:val="multilevel"/>
    <w:tmpl w:val="64F97985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EA32BDC"/>
    <w:multiLevelType w:val="multilevel"/>
    <w:tmpl w:val="6EA32BDC"/>
    <w:lvl w:ilvl="0" w:tentative="0">
      <w:start w:val="1"/>
      <w:numFmt w:val="decimal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3ZTFkZjM0MjkwMTg2MTMwYjE1ZDkyMmQ5MjhlNWQifQ=="/>
  </w:docVars>
  <w:rsids>
    <w:rsidRoot w:val="002B5854"/>
    <w:rsid w:val="00067FAB"/>
    <w:rsid w:val="000807CD"/>
    <w:rsid w:val="0012501A"/>
    <w:rsid w:val="00142EC0"/>
    <w:rsid w:val="001B2E8A"/>
    <w:rsid w:val="00226944"/>
    <w:rsid w:val="002921B0"/>
    <w:rsid w:val="002B3D70"/>
    <w:rsid w:val="002B5854"/>
    <w:rsid w:val="002C1591"/>
    <w:rsid w:val="002C7875"/>
    <w:rsid w:val="002D2D2E"/>
    <w:rsid w:val="002E0C2C"/>
    <w:rsid w:val="002E62CF"/>
    <w:rsid w:val="003C73EB"/>
    <w:rsid w:val="0041478A"/>
    <w:rsid w:val="00484D6C"/>
    <w:rsid w:val="00485166"/>
    <w:rsid w:val="004D2129"/>
    <w:rsid w:val="004E7C70"/>
    <w:rsid w:val="005A76CA"/>
    <w:rsid w:val="00785D7D"/>
    <w:rsid w:val="007E3D47"/>
    <w:rsid w:val="00857929"/>
    <w:rsid w:val="00863AAC"/>
    <w:rsid w:val="00893A97"/>
    <w:rsid w:val="008D3503"/>
    <w:rsid w:val="008F17F4"/>
    <w:rsid w:val="009149DB"/>
    <w:rsid w:val="00934E43"/>
    <w:rsid w:val="00943B94"/>
    <w:rsid w:val="00946677"/>
    <w:rsid w:val="00946950"/>
    <w:rsid w:val="00955EF5"/>
    <w:rsid w:val="0097606A"/>
    <w:rsid w:val="00976EB7"/>
    <w:rsid w:val="009928DE"/>
    <w:rsid w:val="00995B58"/>
    <w:rsid w:val="009A2ABE"/>
    <w:rsid w:val="009B35C7"/>
    <w:rsid w:val="00AB2030"/>
    <w:rsid w:val="00AE4D15"/>
    <w:rsid w:val="00B6758F"/>
    <w:rsid w:val="00B75F22"/>
    <w:rsid w:val="00BD08FA"/>
    <w:rsid w:val="00BD1435"/>
    <w:rsid w:val="00C07306"/>
    <w:rsid w:val="00CE49C8"/>
    <w:rsid w:val="00D27003"/>
    <w:rsid w:val="00E43F50"/>
    <w:rsid w:val="00F030AC"/>
    <w:rsid w:val="00FE0C43"/>
    <w:rsid w:val="19EB6D5E"/>
    <w:rsid w:val="1D621D76"/>
    <w:rsid w:val="22714597"/>
    <w:rsid w:val="4329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kern w:val="0"/>
      <w:sz w:val="24"/>
      <w:szCs w:val="24"/>
      <w:lang w:val="en-US" w:eastAsia="zh-CN" w:bidi="ar-SA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C5759-A9CA-4BF6-80CF-AC31308C14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1141</Words>
  <Characters>1588</Characters>
  <Lines>13</Lines>
  <Paragraphs>3</Paragraphs>
  <TotalTime>0</TotalTime>
  <ScaleCrop>false</ScaleCrop>
  <LinksUpToDate>false</LinksUpToDate>
  <CharactersWithSpaces>1697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2022-12-08T06:02:00Z</dcterms:created>
  <dc:creator>何 倩</dc:creator>
  <cp:lastModifiedBy>X&amp;Y</cp:lastModifiedBy>
  <dcterms:modified xsi:type="dcterms:W3CDTF">2024-02-04T05:38:13Z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35B884C202264C70982C40C5BA2BE212_12</vt:lpwstr>
  </property>
</Properties>
</file>